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D23" w:rsidRPr="003D1CDA" w:rsidRDefault="008E3D23">
      <w:pPr>
        <w:pStyle w:val="a7"/>
        <w:rPr>
          <w:sz w:val="28"/>
          <w:szCs w:val="28"/>
        </w:rPr>
      </w:pPr>
      <w:bookmarkStart w:id="0" w:name="_GoBack"/>
      <w:bookmarkEnd w:id="0"/>
      <w:r w:rsidRPr="003D1CDA">
        <w:rPr>
          <w:sz w:val="28"/>
          <w:szCs w:val="28"/>
        </w:rPr>
        <w:t>Вносится Правительством Российской Федерации</w:t>
      </w:r>
    </w:p>
    <w:p w:rsidR="008E3D23" w:rsidRPr="003D1CDA" w:rsidRDefault="008E3D23" w:rsidP="00486E8E">
      <w:pPr>
        <w:spacing w:line="480" w:lineRule="atLeast"/>
        <w:ind w:left="6238"/>
        <w:jc w:val="right"/>
        <w:rPr>
          <w:szCs w:val="28"/>
        </w:rPr>
      </w:pPr>
    </w:p>
    <w:p w:rsidR="008E3D23" w:rsidRPr="003D1CDA" w:rsidRDefault="008E3D23">
      <w:pPr>
        <w:spacing w:line="240" w:lineRule="atLeast"/>
        <w:ind w:left="6238"/>
        <w:jc w:val="right"/>
        <w:rPr>
          <w:szCs w:val="28"/>
        </w:rPr>
      </w:pPr>
      <w:r w:rsidRPr="003D1CDA">
        <w:rPr>
          <w:szCs w:val="28"/>
        </w:rPr>
        <w:t>Проект</w:t>
      </w:r>
    </w:p>
    <w:p w:rsidR="008E3D23" w:rsidRPr="003D1CDA" w:rsidRDefault="008E3D23">
      <w:pPr>
        <w:spacing w:line="480" w:lineRule="atLeast"/>
        <w:rPr>
          <w:szCs w:val="28"/>
        </w:rPr>
      </w:pPr>
    </w:p>
    <w:p w:rsidR="008E3D23" w:rsidRPr="008E3D23" w:rsidRDefault="008E3D23">
      <w:pPr>
        <w:rPr>
          <w:sz w:val="30"/>
        </w:rPr>
      </w:pPr>
    </w:p>
    <w:p w:rsidR="008E3D23" w:rsidRPr="008E3D23" w:rsidRDefault="008E3D23">
      <w:pPr>
        <w:spacing w:line="240" w:lineRule="atLeast"/>
        <w:jc w:val="center"/>
        <w:rPr>
          <w:b/>
          <w:sz w:val="44"/>
        </w:rPr>
      </w:pPr>
      <w:r w:rsidRPr="008E3D23">
        <w:rPr>
          <w:b/>
          <w:sz w:val="44"/>
        </w:rPr>
        <w:t>ФЕДЕРАЛЬНЫЙ ЗАКОН</w:t>
      </w:r>
    </w:p>
    <w:p w:rsidR="008E3D23" w:rsidRPr="008E3D23" w:rsidRDefault="008E3D23">
      <w:pPr>
        <w:rPr>
          <w:sz w:val="30"/>
        </w:rPr>
      </w:pPr>
    </w:p>
    <w:p w:rsidR="008E3D23" w:rsidRPr="008E3D23" w:rsidRDefault="008E3D23">
      <w:pPr>
        <w:spacing w:line="400" w:lineRule="atLeast"/>
        <w:rPr>
          <w:sz w:val="30"/>
        </w:rPr>
      </w:pPr>
    </w:p>
    <w:p w:rsidR="008E3D23" w:rsidRPr="00F77846" w:rsidRDefault="008E3D23" w:rsidP="00F77846">
      <w:pPr>
        <w:spacing w:line="264" w:lineRule="auto"/>
        <w:jc w:val="center"/>
        <w:rPr>
          <w:b/>
          <w:szCs w:val="28"/>
        </w:rPr>
      </w:pPr>
      <w:r w:rsidRPr="00F77846">
        <w:rPr>
          <w:b/>
          <w:szCs w:val="28"/>
        </w:rPr>
        <w:t>О внесении изменений в отдельные законодательные акты Российской Федерации</w:t>
      </w:r>
    </w:p>
    <w:p w:rsidR="008E3D23" w:rsidRPr="00F77846" w:rsidRDefault="008E3D23" w:rsidP="00F77846">
      <w:pPr>
        <w:spacing w:line="264" w:lineRule="auto"/>
        <w:rPr>
          <w:szCs w:val="28"/>
        </w:rPr>
      </w:pPr>
    </w:p>
    <w:p w:rsidR="008E3D23" w:rsidRPr="00F77846" w:rsidRDefault="008E3D23" w:rsidP="00F77846">
      <w:pPr>
        <w:spacing w:line="264" w:lineRule="auto"/>
        <w:ind w:firstLine="709"/>
        <w:rPr>
          <w:b/>
          <w:szCs w:val="28"/>
        </w:rPr>
      </w:pPr>
      <w:r w:rsidRPr="00F77846">
        <w:rPr>
          <w:b/>
          <w:szCs w:val="28"/>
        </w:rPr>
        <w:t>Статья 1</w:t>
      </w:r>
    </w:p>
    <w:p w:rsidR="008E3D23" w:rsidRPr="00F77846" w:rsidRDefault="008E3D23" w:rsidP="00F77846">
      <w:pPr>
        <w:spacing w:line="264" w:lineRule="auto"/>
        <w:ind w:firstLine="709"/>
        <w:rPr>
          <w:szCs w:val="28"/>
        </w:rPr>
      </w:pPr>
      <w:r w:rsidRPr="00F77846">
        <w:rPr>
          <w:szCs w:val="28"/>
        </w:rPr>
        <w:t xml:space="preserve">Внести в Федеральный закон от </w:t>
      </w:r>
      <w:r w:rsidR="00CB444E" w:rsidRPr="00F77846">
        <w:rPr>
          <w:szCs w:val="28"/>
        </w:rPr>
        <w:t xml:space="preserve">7 декабря 2011 года № 416-ФЗ </w:t>
      </w:r>
      <w:r w:rsidR="00CB444E" w:rsidRPr="00F77846">
        <w:rPr>
          <w:szCs w:val="28"/>
        </w:rPr>
        <w:br/>
        <w:t>"О водоснабжении и водоотведении" (Собрание законодательства Российской Федерации, 2011, № 50, ст. 7358; 2012, № 53, ст. 7614. 7616, 7643; 2013, № 19 ст. 2330; № 30 ст. 4077; № 52, ст. 6976, 6982; 2014. № 26 ст. 3366, 3406; № 30 ст. 4218; № 42 ст. 5615; 2015, № 1 ст. 11, 38; № 29 ст. 4347; № 45 ст. 6208; № 48 ст. 6723; 2016, № 1 ст. 24; № 27 ст. 4288, № 52 ст. 7507; 2017, № 31 ст. 4822)</w:t>
      </w:r>
      <w:r w:rsidRPr="00F77846">
        <w:rPr>
          <w:szCs w:val="28"/>
        </w:rPr>
        <w:t xml:space="preserve"> следующие изменения:</w:t>
      </w:r>
    </w:p>
    <w:p w:rsidR="00952417" w:rsidRPr="00F77846" w:rsidRDefault="00952417" w:rsidP="00F77846">
      <w:pPr>
        <w:pStyle w:val="ab"/>
        <w:numPr>
          <w:ilvl w:val="0"/>
          <w:numId w:val="1"/>
        </w:numPr>
        <w:tabs>
          <w:tab w:val="left" w:pos="851"/>
        </w:tabs>
        <w:spacing w:after="0" w:line="264" w:lineRule="auto"/>
        <w:ind w:left="0" w:firstLine="709"/>
        <w:jc w:val="both"/>
        <w:rPr>
          <w:rFonts w:ascii="Times New Roman" w:hAnsi="Times New Roman"/>
          <w:sz w:val="28"/>
          <w:szCs w:val="28"/>
        </w:rPr>
      </w:pPr>
      <w:r w:rsidRPr="00F77846">
        <w:rPr>
          <w:rFonts w:ascii="Times New Roman" w:hAnsi="Times New Roman"/>
          <w:sz w:val="28"/>
          <w:szCs w:val="28"/>
        </w:rPr>
        <w:t>в статье 18:</w:t>
      </w:r>
    </w:p>
    <w:p w:rsidR="00952417" w:rsidRPr="00F77846" w:rsidRDefault="00952417" w:rsidP="00F77846">
      <w:pPr>
        <w:tabs>
          <w:tab w:val="left" w:pos="851"/>
        </w:tabs>
        <w:spacing w:line="264" w:lineRule="auto"/>
        <w:ind w:firstLine="709"/>
        <w:rPr>
          <w:szCs w:val="28"/>
        </w:rPr>
      </w:pPr>
      <w:r w:rsidRPr="00F77846">
        <w:rPr>
          <w:szCs w:val="28"/>
        </w:rPr>
        <w:t>а) предложение первое части 13 изложить в следующей редакции:</w:t>
      </w:r>
    </w:p>
    <w:p w:rsidR="00853D24" w:rsidRPr="00F77846" w:rsidRDefault="0083472B" w:rsidP="00F77846">
      <w:pPr>
        <w:spacing w:line="264" w:lineRule="auto"/>
        <w:ind w:firstLine="709"/>
        <w:contextualSpacing/>
        <w:rPr>
          <w:szCs w:val="28"/>
        </w:rPr>
      </w:pPr>
      <w:r w:rsidRPr="00F77846">
        <w:rPr>
          <w:szCs w:val="28"/>
        </w:rPr>
        <w:t xml:space="preserve">«13. </w:t>
      </w:r>
      <w:r w:rsidR="00853D24" w:rsidRPr="00F77846">
        <w:rPr>
          <w:szCs w:val="28"/>
        </w:rPr>
        <w:t xml:space="preserve">Плата за подключение (технологическое присоединение) определяется в порядке, установленном Правительством Российской Федерации, в том числе посредством применения стандартизированных тарифных ставок на подключение (технологическое присоединение) к централизованной системе холодного водоснабжения и (или) водоотведения (далее - стандартизированные тарифные ставки на подключение).  </w:t>
      </w:r>
    </w:p>
    <w:p w:rsidR="00701E17" w:rsidRPr="00F77846" w:rsidRDefault="00853D24" w:rsidP="00F77846">
      <w:pPr>
        <w:spacing w:line="264" w:lineRule="auto"/>
        <w:ind w:firstLine="709"/>
        <w:contextualSpacing/>
        <w:rPr>
          <w:szCs w:val="28"/>
        </w:rPr>
      </w:pPr>
      <w:r w:rsidRPr="00F77846">
        <w:rPr>
          <w:szCs w:val="28"/>
        </w:rPr>
        <w:t xml:space="preserve">Высший исполнительный орган государственной власти субъекта Российской Федерации вправе принять решение о применении стандартизированных тарифных ставок на подключение, единых для применения на территории субъекта Российской Федерации </w:t>
      </w:r>
      <w:r w:rsidR="0063217D">
        <w:rPr>
          <w:szCs w:val="28"/>
        </w:rPr>
        <w:t xml:space="preserve">всеми </w:t>
      </w:r>
      <w:r w:rsidRPr="00F77846">
        <w:rPr>
          <w:szCs w:val="28"/>
        </w:rPr>
        <w:t>организациями, осуществляющими холодное водоснабжение и (или) водоотведение</w:t>
      </w:r>
      <w:r w:rsidR="0083472B" w:rsidRPr="00F77846">
        <w:rPr>
          <w:szCs w:val="28"/>
        </w:rPr>
        <w:t>.</w:t>
      </w:r>
    </w:p>
    <w:p w:rsidR="0083472B" w:rsidRPr="00F77846" w:rsidRDefault="006A1079" w:rsidP="00F77846">
      <w:pPr>
        <w:spacing w:line="264" w:lineRule="auto"/>
        <w:ind w:firstLine="709"/>
        <w:contextualSpacing/>
        <w:rPr>
          <w:szCs w:val="28"/>
        </w:rPr>
      </w:pPr>
      <w:r w:rsidRPr="00F77846">
        <w:rPr>
          <w:szCs w:val="28"/>
        </w:rPr>
        <w:t xml:space="preserve">Разница между размером платы за подключение (технологическое присоединение), рассчитанной путем применения стандартизированных тарифных ставок на подключение, и фактическими расходами организаций, осуществляющих холодное водоснабжение и (или) водоотведение, на </w:t>
      </w:r>
      <w:r w:rsidRPr="00F77846">
        <w:rPr>
          <w:szCs w:val="28"/>
        </w:rPr>
        <w:lastRenderedPageBreak/>
        <w:t>выполнение мероприятий по подключению (технологическому присоединению) не подлежит учету при государственном регулировании тарифов в сфере водоснабжения и водоотведения.</w:t>
      </w:r>
      <w:r w:rsidR="0083472B" w:rsidRPr="00F77846">
        <w:rPr>
          <w:szCs w:val="28"/>
        </w:rPr>
        <w:t>»;</w:t>
      </w:r>
    </w:p>
    <w:p w:rsidR="00A81B79" w:rsidRPr="00F77846" w:rsidRDefault="00A81B79" w:rsidP="00F77846">
      <w:pPr>
        <w:tabs>
          <w:tab w:val="left" w:pos="851"/>
        </w:tabs>
        <w:spacing w:line="264" w:lineRule="auto"/>
        <w:ind w:firstLine="709"/>
        <w:rPr>
          <w:szCs w:val="28"/>
        </w:rPr>
      </w:pPr>
      <w:r w:rsidRPr="00F77846">
        <w:rPr>
          <w:szCs w:val="28"/>
        </w:rPr>
        <w:t>б) предложение третье части 13 изложить в следующей редакции:</w:t>
      </w:r>
    </w:p>
    <w:p w:rsidR="00A81B79" w:rsidRPr="00F77846" w:rsidRDefault="00A81B79" w:rsidP="00F77846">
      <w:pPr>
        <w:spacing w:line="264" w:lineRule="auto"/>
        <w:ind w:firstLine="709"/>
        <w:contextualSpacing/>
        <w:rPr>
          <w:szCs w:val="28"/>
        </w:rPr>
      </w:pPr>
      <w:r w:rsidRPr="00F77846">
        <w:rPr>
          <w:szCs w:val="28"/>
        </w:rPr>
        <w:t>«</w:t>
      </w:r>
      <w:r w:rsidR="007E1456" w:rsidRPr="00F77846">
        <w:rPr>
          <w:szCs w:val="28"/>
        </w:rPr>
        <w:t xml:space="preserve">Плата за подключение (технологическое присоединение) определяется исходя из расходов на выполнение мероприятий по подключению (технологическому присоединению), </w:t>
      </w:r>
      <w:r w:rsidR="005F2369">
        <w:rPr>
          <w:szCs w:val="28"/>
        </w:rPr>
        <w:t xml:space="preserve"> включая</w:t>
      </w:r>
      <w:r w:rsidR="007E1456" w:rsidRPr="00F77846">
        <w:rPr>
          <w:szCs w:val="28"/>
        </w:rPr>
        <w:t xml:space="preserve"> создание водопроводных и (или) канализационных сетей и объектов на них от существующих сетей централизованных систем холодного водоснабжения и (или) водоотведения (объектов таких систем) до точки подключения (технологического присоединения) объекта капитального строительства заявителя, </w:t>
      </w:r>
      <w:r w:rsidR="005E2281" w:rsidRPr="005E2281">
        <w:rPr>
          <w:szCs w:val="28"/>
        </w:rPr>
        <w:t xml:space="preserve">реконструкцию и (или) модернизацию существующих </w:t>
      </w:r>
      <w:r w:rsidR="00047978">
        <w:rPr>
          <w:szCs w:val="28"/>
        </w:rPr>
        <w:t>сетей (</w:t>
      </w:r>
      <w:r w:rsidR="005E2281" w:rsidRPr="005E2281">
        <w:rPr>
          <w:szCs w:val="28"/>
        </w:rPr>
        <w:t>объектов</w:t>
      </w:r>
      <w:r w:rsidR="00047978">
        <w:rPr>
          <w:szCs w:val="28"/>
        </w:rPr>
        <w:t>)</w:t>
      </w:r>
      <w:r w:rsidR="005E2281" w:rsidRPr="005E2281">
        <w:rPr>
          <w:szCs w:val="28"/>
        </w:rPr>
        <w:t xml:space="preserve"> этих систем</w:t>
      </w:r>
      <w:r w:rsidR="005E2281">
        <w:rPr>
          <w:szCs w:val="28"/>
        </w:rPr>
        <w:t xml:space="preserve">, </w:t>
      </w:r>
      <w:r w:rsidR="007E1456" w:rsidRPr="00F77846">
        <w:rPr>
          <w:szCs w:val="28"/>
        </w:rPr>
        <w:t>за исключением расходов, предусмотренных на создание</w:t>
      </w:r>
      <w:r w:rsidR="00511DF1">
        <w:rPr>
          <w:szCs w:val="28"/>
        </w:rPr>
        <w:t>,</w:t>
      </w:r>
      <w:r w:rsidR="007E1456" w:rsidRPr="00F77846">
        <w:rPr>
          <w:szCs w:val="28"/>
        </w:rPr>
        <w:t xml:space="preserve"> </w:t>
      </w:r>
      <w:r w:rsidR="00511DF1" w:rsidRPr="00511DF1">
        <w:rPr>
          <w:szCs w:val="28"/>
        </w:rPr>
        <w:t xml:space="preserve">реконструкцию и (или) модернизацию </w:t>
      </w:r>
      <w:r w:rsidR="007E1456" w:rsidRPr="00F77846">
        <w:rPr>
          <w:szCs w:val="28"/>
        </w:rPr>
        <w:t>этих сетей и объектов за счет других источников финансирования инвестиционной программы, либо за счет иных источников, в том числе средств бюджетов бюджетной системы Российской Федерации.</w:t>
      </w:r>
      <w:r w:rsidRPr="00F77846">
        <w:rPr>
          <w:szCs w:val="28"/>
        </w:rPr>
        <w:t>»;</w:t>
      </w:r>
    </w:p>
    <w:p w:rsidR="00E1754C" w:rsidRPr="00F77846" w:rsidRDefault="00E1754C" w:rsidP="00F77846">
      <w:pPr>
        <w:pStyle w:val="ab"/>
        <w:numPr>
          <w:ilvl w:val="0"/>
          <w:numId w:val="1"/>
        </w:numPr>
        <w:spacing w:after="0" w:line="264" w:lineRule="auto"/>
        <w:ind w:left="0" w:firstLine="709"/>
        <w:jc w:val="both"/>
        <w:rPr>
          <w:rFonts w:ascii="Times New Roman" w:hAnsi="Times New Roman"/>
          <w:sz w:val="28"/>
          <w:szCs w:val="28"/>
        </w:rPr>
      </w:pPr>
      <w:r w:rsidRPr="00F77846">
        <w:rPr>
          <w:rFonts w:ascii="Times New Roman" w:hAnsi="Times New Roman"/>
          <w:sz w:val="28"/>
          <w:szCs w:val="28"/>
        </w:rPr>
        <w:t>в статье 19 часть 4 изложить в следующей редакции:</w:t>
      </w:r>
    </w:p>
    <w:p w:rsidR="00E1754C" w:rsidRPr="00F77846" w:rsidRDefault="00E1754C" w:rsidP="00F77846">
      <w:pPr>
        <w:spacing w:line="264" w:lineRule="auto"/>
        <w:ind w:firstLine="709"/>
        <w:contextualSpacing/>
        <w:rPr>
          <w:szCs w:val="28"/>
        </w:rPr>
      </w:pPr>
      <w:r w:rsidRPr="00F77846">
        <w:rPr>
          <w:szCs w:val="28"/>
        </w:rPr>
        <w:t xml:space="preserve">«4. </w:t>
      </w:r>
      <w:r w:rsidR="00D40B03" w:rsidRPr="00F77846">
        <w:rPr>
          <w:szCs w:val="28"/>
        </w:rPr>
        <w:t>Плата за подключение (технологическое присоединение), определяемая в том числе посредством применения стандартизированных тарифных ставок на подключение, рассчитывается в порядке, установленном основами ценообразования в сфере водоснабжения и водоотведения, утвержденными Правительством Российской Федерации</w:t>
      </w:r>
      <w:r w:rsidR="00692999" w:rsidRPr="00F77846">
        <w:rPr>
          <w:szCs w:val="28"/>
        </w:rPr>
        <w:t>.</w:t>
      </w:r>
      <w:r w:rsidRPr="00F77846">
        <w:rPr>
          <w:rFonts w:eastAsia="Calibri"/>
          <w:szCs w:val="28"/>
          <w:lang w:eastAsia="en-US"/>
        </w:rPr>
        <w:t>»;</w:t>
      </w:r>
    </w:p>
    <w:p w:rsidR="005178EF" w:rsidRPr="00F77846" w:rsidRDefault="005178EF" w:rsidP="00F77846">
      <w:pPr>
        <w:spacing w:line="264" w:lineRule="auto"/>
        <w:ind w:firstLine="709"/>
        <w:rPr>
          <w:szCs w:val="28"/>
        </w:rPr>
      </w:pPr>
      <w:r w:rsidRPr="00F77846">
        <w:rPr>
          <w:szCs w:val="28"/>
        </w:rPr>
        <w:t>3) в статье 31:</w:t>
      </w:r>
    </w:p>
    <w:p w:rsidR="00E1754C" w:rsidRPr="00F77846" w:rsidRDefault="005178EF" w:rsidP="00F77846">
      <w:pPr>
        <w:spacing w:line="264" w:lineRule="auto"/>
        <w:ind w:firstLine="709"/>
        <w:contextualSpacing/>
        <w:rPr>
          <w:szCs w:val="28"/>
        </w:rPr>
      </w:pPr>
      <w:r w:rsidRPr="00F77846">
        <w:rPr>
          <w:szCs w:val="28"/>
        </w:rPr>
        <w:t>а) дополнить часть 2 пунктом 6:</w:t>
      </w:r>
    </w:p>
    <w:p w:rsidR="005178EF" w:rsidRPr="00F77846" w:rsidRDefault="005178EF" w:rsidP="00F77846">
      <w:pPr>
        <w:spacing w:line="264" w:lineRule="auto"/>
        <w:ind w:firstLine="709"/>
        <w:contextualSpacing/>
        <w:rPr>
          <w:szCs w:val="28"/>
        </w:rPr>
      </w:pPr>
      <w:r w:rsidRPr="00F77846">
        <w:rPr>
          <w:szCs w:val="28"/>
        </w:rPr>
        <w:t>«6) стандартизированные тарифные ставки на подключение (технологическое присоединение) к централизованной системе холодного водоснабжения.»</w:t>
      </w:r>
      <w:r w:rsidR="00694E63" w:rsidRPr="00F77846">
        <w:rPr>
          <w:szCs w:val="28"/>
        </w:rPr>
        <w:t>;</w:t>
      </w:r>
    </w:p>
    <w:p w:rsidR="005178EF" w:rsidRPr="00F77846" w:rsidRDefault="005178EF" w:rsidP="00F77846">
      <w:pPr>
        <w:spacing w:line="264" w:lineRule="auto"/>
        <w:ind w:firstLine="709"/>
        <w:contextualSpacing/>
        <w:rPr>
          <w:szCs w:val="28"/>
        </w:rPr>
      </w:pPr>
      <w:r w:rsidRPr="00F77846">
        <w:rPr>
          <w:szCs w:val="28"/>
        </w:rPr>
        <w:t>б) дополнить часть 5 пунктом 4:</w:t>
      </w:r>
    </w:p>
    <w:p w:rsidR="005178EF" w:rsidRPr="00F77846" w:rsidRDefault="005178EF" w:rsidP="00F77846">
      <w:pPr>
        <w:spacing w:line="264" w:lineRule="auto"/>
        <w:ind w:firstLine="709"/>
        <w:contextualSpacing/>
        <w:rPr>
          <w:szCs w:val="28"/>
        </w:rPr>
      </w:pPr>
      <w:r w:rsidRPr="00F77846">
        <w:rPr>
          <w:szCs w:val="28"/>
        </w:rPr>
        <w:t>«4) стандартизированные тарифные ставки на подключение (технологическое присоединение) к централизованной системе горячего водоснабжения.»</w:t>
      </w:r>
      <w:r w:rsidR="00694E63" w:rsidRPr="00F77846">
        <w:rPr>
          <w:szCs w:val="28"/>
        </w:rPr>
        <w:t>;</w:t>
      </w:r>
    </w:p>
    <w:p w:rsidR="005178EF" w:rsidRPr="00F77846" w:rsidRDefault="005178EF" w:rsidP="00F77846">
      <w:pPr>
        <w:spacing w:line="264" w:lineRule="auto"/>
        <w:ind w:firstLine="709"/>
        <w:contextualSpacing/>
        <w:rPr>
          <w:szCs w:val="28"/>
        </w:rPr>
      </w:pPr>
      <w:r w:rsidRPr="00F77846">
        <w:rPr>
          <w:szCs w:val="28"/>
        </w:rPr>
        <w:t>в) дополнить часть 8 пунктом 4:</w:t>
      </w:r>
    </w:p>
    <w:p w:rsidR="00694E63" w:rsidRPr="00F77846" w:rsidRDefault="00694E63" w:rsidP="00F77846">
      <w:pPr>
        <w:spacing w:line="264" w:lineRule="auto"/>
        <w:ind w:firstLine="709"/>
        <w:contextualSpacing/>
        <w:rPr>
          <w:szCs w:val="28"/>
        </w:rPr>
      </w:pPr>
      <w:r w:rsidRPr="00F77846">
        <w:rPr>
          <w:szCs w:val="28"/>
        </w:rPr>
        <w:t>«4) стандартизированные тарифные ставки на подключение (технологическое присоединение) к централизованной системе водоотведения.»;</w:t>
      </w:r>
    </w:p>
    <w:p w:rsidR="008E3D23" w:rsidRPr="00F77846" w:rsidRDefault="008E3D23" w:rsidP="00F77846">
      <w:pPr>
        <w:spacing w:line="264" w:lineRule="auto"/>
        <w:ind w:firstLine="709"/>
        <w:rPr>
          <w:b/>
          <w:szCs w:val="28"/>
        </w:rPr>
      </w:pPr>
      <w:r w:rsidRPr="00F77846">
        <w:rPr>
          <w:b/>
          <w:szCs w:val="28"/>
        </w:rPr>
        <w:t>Статья 2</w:t>
      </w:r>
    </w:p>
    <w:p w:rsidR="008E3D23" w:rsidRPr="00F77846" w:rsidRDefault="008E3D23" w:rsidP="00F77846">
      <w:pPr>
        <w:spacing w:line="264" w:lineRule="auto"/>
        <w:ind w:firstLine="709"/>
        <w:rPr>
          <w:bCs/>
          <w:szCs w:val="28"/>
        </w:rPr>
      </w:pPr>
      <w:r w:rsidRPr="00F77846">
        <w:rPr>
          <w:bCs/>
          <w:szCs w:val="28"/>
        </w:rPr>
        <w:t xml:space="preserve">Внести в Федеральный </w:t>
      </w:r>
      <w:hyperlink r:id="rId9" w:history="1">
        <w:r w:rsidRPr="00F77846">
          <w:rPr>
            <w:rStyle w:val="a6"/>
            <w:bCs/>
            <w:color w:val="auto"/>
            <w:szCs w:val="28"/>
            <w:u w:val="none"/>
          </w:rPr>
          <w:t>закон</w:t>
        </w:r>
      </w:hyperlink>
      <w:r w:rsidRPr="00F77846">
        <w:rPr>
          <w:bCs/>
          <w:szCs w:val="28"/>
        </w:rPr>
        <w:t xml:space="preserve"> от </w:t>
      </w:r>
      <w:r w:rsidR="00DB38E4" w:rsidRPr="00F77846">
        <w:rPr>
          <w:bCs/>
          <w:szCs w:val="28"/>
        </w:rPr>
        <w:t xml:space="preserve">27 июля 2010 года № 190-ФЗ </w:t>
      </w:r>
      <w:r w:rsidR="00DB38E4" w:rsidRPr="00F77846">
        <w:rPr>
          <w:bCs/>
          <w:szCs w:val="28"/>
        </w:rPr>
        <w:br/>
        <w:t xml:space="preserve">"О теплоснабжении" (Собрание законодательства Российской Федерации, </w:t>
      </w:r>
      <w:r w:rsidR="00DB38E4" w:rsidRPr="00F77846">
        <w:rPr>
          <w:bCs/>
          <w:szCs w:val="28"/>
        </w:rPr>
        <w:lastRenderedPageBreak/>
        <w:t>2010, № 31, ст. 4159; 2011, № 23, ст. 3263; № 30, ст. 4590; № 50, ст. 7359; 2012, № 26, ст. 3446; № 53, ст. 7616, 7643; 2013, № 19, ст. 2330; № 27, ст. 3477; 2014, № 6, ст. 561; № 30, ст. 4218; № 42, ст. 5615; № 49, ст. 6913; 2015, № 1, ст. 38; № 45, ст. 6208; № 48, ст. 6723; 2016. № 18 ст. 2508, № 52 ст. 7507; 2017, № 31 ст. 4822, ст. 4828)</w:t>
      </w:r>
      <w:r w:rsidR="00B47A17" w:rsidRPr="00F77846">
        <w:rPr>
          <w:bCs/>
          <w:szCs w:val="28"/>
        </w:rPr>
        <w:t xml:space="preserve"> </w:t>
      </w:r>
      <w:r w:rsidRPr="00F77846">
        <w:rPr>
          <w:bCs/>
          <w:szCs w:val="28"/>
        </w:rPr>
        <w:t>следующие изменения:</w:t>
      </w:r>
    </w:p>
    <w:p w:rsidR="008E3D23" w:rsidRPr="00F77846" w:rsidRDefault="008E3D23" w:rsidP="00F77846">
      <w:pPr>
        <w:spacing w:line="264" w:lineRule="auto"/>
        <w:ind w:firstLine="709"/>
        <w:rPr>
          <w:bCs/>
          <w:szCs w:val="28"/>
        </w:rPr>
      </w:pPr>
      <w:r w:rsidRPr="00F77846">
        <w:rPr>
          <w:bCs/>
          <w:szCs w:val="28"/>
        </w:rPr>
        <w:t>1) пункт 8 части 1 статьи 8 изложить в следующей редакции:</w:t>
      </w:r>
    </w:p>
    <w:p w:rsidR="008E3D23" w:rsidRPr="00F77846" w:rsidRDefault="008E3D23" w:rsidP="00F77846">
      <w:pPr>
        <w:spacing w:line="264" w:lineRule="auto"/>
        <w:ind w:firstLine="709"/>
        <w:rPr>
          <w:bCs/>
          <w:szCs w:val="28"/>
        </w:rPr>
      </w:pPr>
      <w:r w:rsidRPr="00F77846">
        <w:rPr>
          <w:bCs/>
          <w:szCs w:val="28"/>
        </w:rPr>
        <w:t xml:space="preserve">"8) </w:t>
      </w:r>
      <w:r w:rsidR="00400A50" w:rsidRPr="00F77846">
        <w:rPr>
          <w:bCs/>
          <w:szCs w:val="28"/>
        </w:rPr>
        <w:t>плата за подключение (технологическое присоединение) к системе теплоснабжения и (или) стандартизированные тарифные ставки на подключение (технологическое присоединение) к системе теплоснабжения, определяющие ее величину.</w:t>
      </w:r>
      <w:r w:rsidRPr="00F77846">
        <w:rPr>
          <w:bCs/>
          <w:szCs w:val="28"/>
        </w:rPr>
        <w:t>";</w:t>
      </w:r>
    </w:p>
    <w:p w:rsidR="008E3D23" w:rsidRPr="00F77846" w:rsidRDefault="008E3D23" w:rsidP="00F77846">
      <w:pPr>
        <w:spacing w:line="264" w:lineRule="auto"/>
        <w:ind w:firstLine="709"/>
        <w:rPr>
          <w:bCs/>
          <w:szCs w:val="28"/>
        </w:rPr>
      </w:pPr>
      <w:r w:rsidRPr="00F77846">
        <w:rPr>
          <w:bCs/>
          <w:szCs w:val="28"/>
        </w:rPr>
        <w:t>2)</w:t>
      </w:r>
      <w:r w:rsidR="0067478F" w:rsidRPr="00F77846">
        <w:rPr>
          <w:bCs/>
          <w:szCs w:val="28"/>
        </w:rPr>
        <w:t> </w:t>
      </w:r>
      <w:r w:rsidRPr="00F77846">
        <w:rPr>
          <w:bCs/>
          <w:szCs w:val="28"/>
        </w:rPr>
        <w:t>в статье 14:</w:t>
      </w:r>
    </w:p>
    <w:p w:rsidR="008E3D23" w:rsidRPr="00F77846" w:rsidRDefault="008E3D23" w:rsidP="00F77846">
      <w:pPr>
        <w:spacing w:line="264" w:lineRule="auto"/>
        <w:ind w:firstLine="709"/>
        <w:rPr>
          <w:bCs/>
          <w:szCs w:val="28"/>
        </w:rPr>
      </w:pPr>
      <w:r w:rsidRPr="00F77846">
        <w:rPr>
          <w:bCs/>
          <w:szCs w:val="28"/>
        </w:rPr>
        <w:t>а)</w:t>
      </w:r>
      <w:r w:rsidR="00FC4D06" w:rsidRPr="00F77846">
        <w:rPr>
          <w:bCs/>
          <w:szCs w:val="28"/>
        </w:rPr>
        <w:t xml:space="preserve"> </w:t>
      </w:r>
      <w:r w:rsidRPr="00F77846">
        <w:rPr>
          <w:bCs/>
          <w:szCs w:val="28"/>
        </w:rPr>
        <w:t>часть 8 изложить в следующей редакции:</w:t>
      </w:r>
    </w:p>
    <w:p w:rsidR="004F7F9D" w:rsidRPr="00F77846" w:rsidRDefault="008E3D23" w:rsidP="00F77846">
      <w:pPr>
        <w:spacing w:line="264" w:lineRule="auto"/>
        <w:ind w:firstLine="709"/>
        <w:rPr>
          <w:bCs/>
          <w:szCs w:val="28"/>
        </w:rPr>
      </w:pPr>
      <w:r w:rsidRPr="00F77846">
        <w:rPr>
          <w:bCs/>
          <w:szCs w:val="28"/>
        </w:rPr>
        <w:t>"8. </w:t>
      </w:r>
      <w:r w:rsidR="004F7F9D" w:rsidRPr="00F77846">
        <w:rPr>
          <w:bCs/>
          <w:szCs w:val="28"/>
        </w:rPr>
        <w:t>Плата за подключение (технологическое присоединение) к системе теплоснабжения определяется в порядке, установленном Правительством Российской Федерации, в том числе посредством применения стандартизированных тарифных ставок на подключение (технологическое присоединение) к системе теплоснабжения.</w:t>
      </w:r>
    </w:p>
    <w:p w:rsidR="004F7F9D" w:rsidRPr="00F77846" w:rsidRDefault="004F7F9D" w:rsidP="00F77846">
      <w:pPr>
        <w:spacing w:line="264" w:lineRule="auto"/>
        <w:ind w:firstLine="709"/>
        <w:rPr>
          <w:bCs/>
          <w:szCs w:val="28"/>
        </w:rPr>
      </w:pPr>
      <w:r w:rsidRPr="00F77846">
        <w:rPr>
          <w:bCs/>
          <w:szCs w:val="28"/>
        </w:rPr>
        <w:t xml:space="preserve">Высший исполнительный орган государственной власти субъекта Российской Федерации вправе принять решение о применении стандартизированных тарифных ставок на подключение (технологическое присоединение) к системе теплоснабжения (далее - стандартизированные тарифные ставки на подключение), единых для применения на территории субъекта Российской Федерации </w:t>
      </w:r>
      <w:r w:rsidR="00DC1D37">
        <w:rPr>
          <w:bCs/>
          <w:szCs w:val="28"/>
        </w:rPr>
        <w:t xml:space="preserve">всеми </w:t>
      </w:r>
      <w:r w:rsidRPr="00F77846">
        <w:rPr>
          <w:bCs/>
          <w:szCs w:val="28"/>
        </w:rPr>
        <w:t>теплоснабжающими организациями, теплосетевыми организациями.</w:t>
      </w:r>
    </w:p>
    <w:p w:rsidR="007F6E79" w:rsidRPr="00F77846" w:rsidRDefault="004F7F9D" w:rsidP="00F77846">
      <w:pPr>
        <w:spacing w:line="264" w:lineRule="auto"/>
        <w:ind w:firstLine="709"/>
        <w:rPr>
          <w:bCs/>
          <w:szCs w:val="28"/>
        </w:rPr>
      </w:pPr>
      <w:r w:rsidRPr="00F77846">
        <w:rPr>
          <w:bCs/>
          <w:szCs w:val="28"/>
        </w:rPr>
        <w:t>В случае принятия высшим исполнительным органом государственной власти субъекта Российской Федерации решения о применении стандартизированных тарифных ставок на подключение, единых для применения на территории субъекта Российской Федерации теплоснабжающими организациями, теплосетевыми организациями, плата за подключение (технологическое присоединение) к системе теплоснабжения рассчитывается исходя из установленных стандартизированных тарифных ставок на подключение с учетом особенностей, установленных частью 9 статьи 23.4 настоящего Федерального закона</w:t>
      </w:r>
      <w:r w:rsidR="00E323F2" w:rsidRPr="00F77846">
        <w:rPr>
          <w:bCs/>
          <w:szCs w:val="28"/>
        </w:rPr>
        <w:t xml:space="preserve"> для ценовых зон теплоснабжения</w:t>
      </w:r>
      <w:r w:rsidR="006F058B" w:rsidRPr="00F77846">
        <w:rPr>
          <w:bCs/>
          <w:szCs w:val="28"/>
        </w:rPr>
        <w:t>.</w:t>
      </w:r>
    </w:p>
    <w:p w:rsidR="008E3D23" w:rsidRPr="00F77846" w:rsidRDefault="005C3DB4" w:rsidP="00F77846">
      <w:pPr>
        <w:spacing w:line="264" w:lineRule="auto"/>
        <w:ind w:firstLine="709"/>
        <w:rPr>
          <w:szCs w:val="28"/>
          <w:highlight w:val="yellow"/>
        </w:rPr>
      </w:pPr>
      <w:r w:rsidRPr="00F77846">
        <w:rPr>
          <w:szCs w:val="28"/>
        </w:rPr>
        <w:t>Разница между размером платы за подключение (технологическое присоединение) к системе теплоснабжения, рассчитанной путем применения стандартизированных тарифных ставок на подключение, и фактическими расходами теплоснабжающих организаций, теплосетевых организаций на выполнение мероприятий по подключению (технологическому присоединению) к системе теплоснабжения не подлежит учету при государственном регулировании цен (тарифов) в сфере теплоснабжения.</w:t>
      </w:r>
      <w:r w:rsidR="008E3D23" w:rsidRPr="00F77846">
        <w:rPr>
          <w:szCs w:val="28"/>
        </w:rPr>
        <w:t>";</w:t>
      </w:r>
    </w:p>
    <w:p w:rsidR="008E3D23" w:rsidRPr="00F77846" w:rsidRDefault="008E3D23" w:rsidP="00F77846">
      <w:pPr>
        <w:spacing w:line="264" w:lineRule="auto"/>
        <w:ind w:firstLine="709"/>
        <w:rPr>
          <w:bCs/>
          <w:szCs w:val="28"/>
        </w:rPr>
      </w:pPr>
      <w:r w:rsidRPr="00F77846">
        <w:rPr>
          <w:szCs w:val="28"/>
        </w:rPr>
        <w:t xml:space="preserve">б) </w:t>
      </w:r>
      <w:r w:rsidRPr="00F77846">
        <w:rPr>
          <w:bCs/>
          <w:szCs w:val="28"/>
        </w:rPr>
        <w:t>часть 10 изложить в следующей редакции:</w:t>
      </w:r>
    </w:p>
    <w:p w:rsidR="008E3D23" w:rsidRPr="00F77846" w:rsidRDefault="00757313" w:rsidP="00F77846">
      <w:pPr>
        <w:spacing w:line="264" w:lineRule="auto"/>
        <w:ind w:firstLine="709"/>
        <w:rPr>
          <w:bCs/>
          <w:szCs w:val="28"/>
        </w:rPr>
      </w:pPr>
      <w:r w:rsidRPr="00F77846">
        <w:rPr>
          <w:bCs/>
          <w:szCs w:val="28"/>
        </w:rPr>
        <w:t>"10. </w:t>
      </w:r>
      <w:r w:rsidR="00787910" w:rsidRPr="00F77846">
        <w:rPr>
          <w:bCs/>
          <w:szCs w:val="28"/>
        </w:rPr>
        <w:t xml:space="preserve">Плата за подключение (технологическое присоединение) к системе теплоснабжения и (или) стандартизированные тарифные ставки на подключение, определяющие ее величину, включают в себя затраты теплоснабжающей или теплосетевой организации на выполнение мероприятий по подключению (технологическому присоединению) к системе теплоснабжения, </w:t>
      </w:r>
      <w:r w:rsidR="00A47806">
        <w:rPr>
          <w:bCs/>
          <w:szCs w:val="28"/>
        </w:rPr>
        <w:t xml:space="preserve"> в том числе </w:t>
      </w:r>
      <w:r w:rsidR="006E1E79">
        <w:rPr>
          <w:bCs/>
          <w:szCs w:val="28"/>
        </w:rPr>
        <w:t xml:space="preserve">по </w:t>
      </w:r>
      <w:r w:rsidR="00A47806">
        <w:rPr>
          <w:bCs/>
          <w:szCs w:val="28"/>
        </w:rPr>
        <w:t>создани</w:t>
      </w:r>
      <w:r w:rsidR="004C7837">
        <w:rPr>
          <w:bCs/>
          <w:szCs w:val="28"/>
        </w:rPr>
        <w:t>ю</w:t>
      </w:r>
      <w:r w:rsidR="00A47806">
        <w:rPr>
          <w:bCs/>
          <w:szCs w:val="28"/>
        </w:rPr>
        <w:t xml:space="preserve"> тепловых сетей протяженностью от существующих тепловых сетей или источников тепловой энергии до точки подключения (технологического присоединения) объекта капитального строительства потребителя, в том числе застройщика, реконструкци</w:t>
      </w:r>
      <w:r w:rsidR="006E1E79">
        <w:rPr>
          <w:bCs/>
          <w:szCs w:val="28"/>
        </w:rPr>
        <w:t>и</w:t>
      </w:r>
      <w:r w:rsidR="00A47806">
        <w:rPr>
          <w:bCs/>
          <w:szCs w:val="28"/>
        </w:rPr>
        <w:t xml:space="preserve"> и (или) модернизаци</w:t>
      </w:r>
      <w:r w:rsidR="006E1E79">
        <w:rPr>
          <w:bCs/>
          <w:szCs w:val="28"/>
        </w:rPr>
        <w:t>и</w:t>
      </w:r>
      <w:r w:rsidR="00A47806">
        <w:rPr>
          <w:bCs/>
          <w:szCs w:val="28"/>
        </w:rPr>
        <w:t xml:space="preserve"> существующих сетей и (или) объектов на них, за исключением расходов, предусмотренных на создание (реконструкцию, модернизацию) этих тепловых сетей и объектов на них </w:t>
      </w:r>
      <w:r w:rsidR="00787910" w:rsidRPr="00F77846">
        <w:rPr>
          <w:bCs/>
          <w:szCs w:val="28"/>
        </w:rPr>
        <w:t>за счет других источников финансирования инвестиционной программы теплоснабжающей организации, теплосетевой организации, либо средств, предусмотренных на создание этих тепловых сетей и полученных за счет иных источников, в том числе средств бюджетов бюджетной системы Российской Федерации.</w:t>
      </w:r>
      <w:r w:rsidR="008E3D23" w:rsidRPr="00F77846">
        <w:rPr>
          <w:bCs/>
          <w:szCs w:val="28"/>
        </w:rPr>
        <w:t>";</w:t>
      </w:r>
    </w:p>
    <w:p w:rsidR="008E3D23" w:rsidRPr="00F77846" w:rsidRDefault="008E3D23" w:rsidP="00F77846">
      <w:pPr>
        <w:spacing w:line="264" w:lineRule="auto"/>
        <w:ind w:firstLine="709"/>
        <w:rPr>
          <w:b/>
          <w:szCs w:val="28"/>
        </w:rPr>
      </w:pPr>
      <w:r w:rsidRPr="00F77846">
        <w:rPr>
          <w:b/>
          <w:szCs w:val="28"/>
        </w:rPr>
        <w:t>Статья 3</w:t>
      </w:r>
    </w:p>
    <w:p w:rsidR="006867E5" w:rsidRPr="00F77846" w:rsidRDefault="006867E5" w:rsidP="00F77846">
      <w:pPr>
        <w:spacing w:line="264" w:lineRule="auto"/>
        <w:ind w:firstLine="709"/>
        <w:rPr>
          <w:szCs w:val="28"/>
        </w:rPr>
      </w:pPr>
      <w:r w:rsidRPr="00F77846">
        <w:rPr>
          <w:szCs w:val="28"/>
        </w:rPr>
        <w:t>1. Настоящий Федеральный закон вступает в силу с 1 января 2021 года.</w:t>
      </w:r>
    </w:p>
    <w:p w:rsidR="006867E5" w:rsidRPr="00F77846" w:rsidRDefault="006867E5" w:rsidP="00F77846">
      <w:pPr>
        <w:spacing w:line="264" w:lineRule="auto"/>
        <w:ind w:firstLine="709"/>
        <w:rPr>
          <w:szCs w:val="28"/>
        </w:rPr>
      </w:pPr>
      <w:r w:rsidRPr="00F77846">
        <w:rPr>
          <w:szCs w:val="28"/>
        </w:rPr>
        <w:t xml:space="preserve">2. </w:t>
      </w:r>
      <w:r w:rsidR="00787910" w:rsidRPr="00F77846">
        <w:rPr>
          <w:szCs w:val="28"/>
        </w:rPr>
        <w:t xml:space="preserve">В случае принятия высшим исполнительным органом государственной власти субъекта Российской Федерации решения о применении при расчете платы за подключение (технологическое присоединение) к централизованной системе холодного водоснабжения, централизованной системе горячего водоснабжения, централизованной системе водоотведения, системе теплоснабжения, стандартизированных тарифных ставок на подключение, единых для применения на территории субъекта Российской Федерации, тарифы на подключение (технологическое присоединение) к централизованной системе холодного водоснабжения, централизованной системе горячего водоснабжения, централизованной системе водоотведения, </w:t>
      </w:r>
      <w:r w:rsidR="005B42C9">
        <w:rPr>
          <w:szCs w:val="28"/>
        </w:rPr>
        <w:t>п</w:t>
      </w:r>
      <w:r w:rsidR="005B42C9" w:rsidRPr="005B42C9">
        <w:rPr>
          <w:szCs w:val="28"/>
        </w:rPr>
        <w:t xml:space="preserve">лата за подключение (технологическое присоединение) к </w:t>
      </w:r>
      <w:r w:rsidR="00787910" w:rsidRPr="00F77846">
        <w:rPr>
          <w:szCs w:val="28"/>
        </w:rPr>
        <w:t>системе теплоснабжения, установленные до вступления в силу настоящего федерального закона, применяются для определения размера платы за подключение (технологическое присоединение) до истечения срока, на который они были установлены.</w:t>
      </w:r>
    </w:p>
    <w:p w:rsidR="00B6640C" w:rsidRPr="00F77846" w:rsidRDefault="00B6640C" w:rsidP="00F77846">
      <w:pPr>
        <w:spacing w:line="264" w:lineRule="auto"/>
        <w:rPr>
          <w:szCs w:val="28"/>
        </w:rPr>
      </w:pPr>
    </w:p>
    <w:p w:rsidR="008E3D23" w:rsidRPr="00F77846" w:rsidRDefault="008E3D23" w:rsidP="00F77846">
      <w:pPr>
        <w:tabs>
          <w:tab w:val="center" w:pos="1474"/>
        </w:tabs>
        <w:spacing w:line="264" w:lineRule="auto"/>
        <w:rPr>
          <w:szCs w:val="28"/>
        </w:rPr>
      </w:pPr>
      <w:r w:rsidRPr="00F77846">
        <w:rPr>
          <w:szCs w:val="28"/>
        </w:rPr>
        <w:tab/>
        <w:t>Президент</w:t>
      </w:r>
    </w:p>
    <w:p w:rsidR="008E3D23" w:rsidRPr="00F77846" w:rsidRDefault="008E3D23" w:rsidP="00F77846">
      <w:pPr>
        <w:tabs>
          <w:tab w:val="center" w:pos="1474"/>
          <w:tab w:val="left" w:pos="8364"/>
        </w:tabs>
        <w:spacing w:line="264" w:lineRule="auto"/>
        <w:rPr>
          <w:szCs w:val="28"/>
        </w:rPr>
      </w:pPr>
      <w:r w:rsidRPr="00F77846">
        <w:rPr>
          <w:szCs w:val="28"/>
        </w:rPr>
        <w:tab/>
        <w:t>Российской Федерации</w:t>
      </w:r>
    </w:p>
    <w:sectPr w:rsidR="008E3D23" w:rsidRPr="00F77846" w:rsidSect="00DB58FB">
      <w:headerReference w:type="default" r:id="rId10"/>
      <w:footerReference w:type="default" r:id="rId11"/>
      <w:headerReference w:type="first" r:id="rId12"/>
      <w:pgSz w:w="11907" w:h="16840" w:code="9"/>
      <w:pgMar w:top="1418" w:right="737" w:bottom="1418" w:left="1588" w:header="709" w:footer="709"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1D8" w:rsidRDefault="00C441D8">
      <w:r>
        <w:separator/>
      </w:r>
    </w:p>
  </w:endnote>
  <w:endnote w:type="continuationSeparator" w:id="0">
    <w:p w:rsidR="00C441D8" w:rsidRDefault="00C44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EE8" w:rsidRDefault="009C3EE8">
    <w:pPr>
      <w:pStyle w:val="a4"/>
      <w:tabs>
        <w:tab w:val="clear" w:pos="4153"/>
        <w:tab w:val="clear" w:pos="8306"/>
        <w:tab w:val="center" w:pos="4820"/>
        <w:tab w:val="right" w:pos="9072"/>
      </w:tabs>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1D8" w:rsidRDefault="00C441D8">
      <w:r>
        <w:separator/>
      </w:r>
    </w:p>
  </w:footnote>
  <w:footnote w:type="continuationSeparator" w:id="0">
    <w:p w:rsidR="00C441D8" w:rsidRDefault="00C441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EE8" w:rsidRPr="008E3D23" w:rsidRDefault="009C3EE8">
    <w:pPr>
      <w:pStyle w:val="a3"/>
      <w:tabs>
        <w:tab w:val="clear" w:pos="4153"/>
        <w:tab w:val="clear" w:pos="8306"/>
      </w:tabs>
      <w:jc w:val="center"/>
      <w:rPr>
        <w:sz w:val="30"/>
      </w:rPr>
    </w:pPr>
    <w:r w:rsidRPr="008E3D23">
      <w:rPr>
        <w:rStyle w:val="a5"/>
        <w:sz w:val="30"/>
      </w:rPr>
      <w:fldChar w:fldCharType="begin"/>
    </w:r>
    <w:r w:rsidRPr="008E3D23">
      <w:rPr>
        <w:rStyle w:val="a5"/>
        <w:sz w:val="30"/>
      </w:rPr>
      <w:instrText xml:space="preserve"> PAGE </w:instrText>
    </w:r>
    <w:r w:rsidRPr="008E3D23">
      <w:rPr>
        <w:rStyle w:val="a5"/>
        <w:sz w:val="30"/>
      </w:rPr>
      <w:fldChar w:fldCharType="separate"/>
    </w:r>
    <w:r w:rsidR="00867EE2">
      <w:rPr>
        <w:rStyle w:val="a5"/>
        <w:noProof/>
        <w:sz w:val="30"/>
      </w:rPr>
      <w:t>2</w:t>
    </w:r>
    <w:r w:rsidRPr="008E3D23">
      <w:rPr>
        <w:rStyle w:val="a5"/>
        <w:sz w:val="3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EE8" w:rsidRPr="008E3D23" w:rsidRDefault="009C3EE8">
    <w:pPr>
      <w:pStyle w:val="a3"/>
      <w:tabs>
        <w:tab w:val="clear" w:pos="4153"/>
        <w:tab w:val="clear" w:pos="8306"/>
      </w:tabs>
      <w:jc w:val="center"/>
      <w:rPr>
        <w:sz w:val="3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41EA2"/>
    <w:multiLevelType w:val="hybridMultilevel"/>
    <w:tmpl w:val="AA506CB6"/>
    <w:lvl w:ilvl="0" w:tplc="04190011">
      <w:start w:val="1"/>
      <w:numFmt w:val="decimal"/>
      <w:lvlText w:val="%1)"/>
      <w:lvlJc w:val="left"/>
      <w:pPr>
        <w:ind w:left="8441" w:hanging="360"/>
      </w:pPr>
      <w:rPr>
        <w:rFonts w:cs="Times New Roman" w:hint="default"/>
      </w:rPr>
    </w:lvl>
    <w:lvl w:ilvl="1" w:tplc="04190019" w:tentative="1">
      <w:start w:val="1"/>
      <w:numFmt w:val="lowerLetter"/>
      <w:lvlText w:val="%2."/>
      <w:lvlJc w:val="left"/>
      <w:pPr>
        <w:ind w:left="9161" w:hanging="360"/>
      </w:pPr>
      <w:rPr>
        <w:rFonts w:cs="Times New Roman"/>
      </w:rPr>
    </w:lvl>
    <w:lvl w:ilvl="2" w:tplc="0419001B" w:tentative="1">
      <w:start w:val="1"/>
      <w:numFmt w:val="lowerRoman"/>
      <w:lvlText w:val="%3."/>
      <w:lvlJc w:val="right"/>
      <w:pPr>
        <w:ind w:left="9881" w:hanging="180"/>
      </w:pPr>
      <w:rPr>
        <w:rFonts w:cs="Times New Roman"/>
      </w:rPr>
    </w:lvl>
    <w:lvl w:ilvl="3" w:tplc="0419000F" w:tentative="1">
      <w:start w:val="1"/>
      <w:numFmt w:val="decimal"/>
      <w:lvlText w:val="%4."/>
      <w:lvlJc w:val="left"/>
      <w:pPr>
        <w:ind w:left="10601" w:hanging="360"/>
      </w:pPr>
      <w:rPr>
        <w:rFonts w:cs="Times New Roman"/>
      </w:rPr>
    </w:lvl>
    <w:lvl w:ilvl="4" w:tplc="04190019" w:tentative="1">
      <w:start w:val="1"/>
      <w:numFmt w:val="lowerLetter"/>
      <w:lvlText w:val="%5."/>
      <w:lvlJc w:val="left"/>
      <w:pPr>
        <w:ind w:left="11321" w:hanging="360"/>
      </w:pPr>
      <w:rPr>
        <w:rFonts w:cs="Times New Roman"/>
      </w:rPr>
    </w:lvl>
    <w:lvl w:ilvl="5" w:tplc="0419001B" w:tentative="1">
      <w:start w:val="1"/>
      <w:numFmt w:val="lowerRoman"/>
      <w:lvlText w:val="%6."/>
      <w:lvlJc w:val="right"/>
      <w:pPr>
        <w:ind w:left="12041" w:hanging="180"/>
      </w:pPr>
      <w:rPr>
        <w:rFonts w:cs="Times New Roman"/>
      </w:rPr>
    </w:lvl>
    <w:lvl w:ilvl="6" w:tplc="0419000F" w:tentative="1">
      <w:start w:val="1"/>
      <w:numFmt w:val="decimal"/>
      <w:lvlText w:val="%7."/>
      <w:lvlJc w:val="left"/>
      <w:pPr>
        <w:ind w:left="12761" w:hanging="360"/>
      </w:pPr>
      <w:rPr>
        <w:rFonts w:cs="Times New Roman"/>
      </w:rPr>
    </w:lvl>
    <w:lvl w:ilvl="7" w:tplc="04190019" w:tentative="1">
      <w:start w:val="1"/>
      <w:numFmt w:val="lowerLetter"/>
      <w:lvlText w:val="%8."/>
      <w:lvlJc w:val="left"/>
      <w:pPr>
        <w:ind w:left="13481" w:hanging="360"/>
      </w:pPr>
      <w:rPr>
        <w:rFonts w:cs="Times New Roman"/>
      </w:rPr>
    </w:lvl>
    <w:lvl w:ilvl="8" w:tplc="0419001B" w:tentative="1">
      <w:start w:val="1"/>
      <w:numFmt w:val="lowerRoman"/>
      <w:lvlText w:val="%9."/>
      <w:lvlJc w:val="right"/>
      <w:pPr>
        <w:ind w:left="14201"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108"/>
    <w:rsid w:val="00001431"/>
    <w:rsid w:val="00035D18"/>
    <w:rsid w:val="00047978"/>
    <w:rsid w:val="00083A65"/>
    <w:rsid w:val="0008627E"/>
    <w:rsid w:val="000D1934"/>
    <w:rsid w:val="000F26C7"/>
    <w:rsid w:val="00141389"/>
    <w:rsid w:val="00155CF8"/>
    <w:rsid w:val="0018754B"/>
    <w:rsid w:val="001A3444"/>
    <w:rsid w:val="001D152B"/>
    <w:rsid w:val="001D4C32"/>
    <w:rsid w:val="001F3637"/>
    <w:rsid w:val="001F7FF5"/>
    <w:rsid w:val="002005B3"/>
    <w:rsid w:val="00205F9F"/>
    <w:rsid w:val="00222BF3"/>
    <w:rsid w:val="00254934"/>
    <w:rsid w:val="00261CDE"/>
    <w:rsid w:val="00265956"/>
    <w:rsid w:val="002944D7"/>
    <w:rsid w:val="002B51EF"/>
    <w:rsid w:val="002C42E3"/>
    <w:rsid w:val="002E091E"/>
    <w:rsid w:val="00300F01"/>
    <w:rsid w:val="00304FD8"/>
    <w:rsid w:val="003139B5"/>
    <w:rsid w:val="00313FC7"/>
    <w:rsid w:val="00342BEB"/>
    <w:rsid w:val="003763B0"/>
    <w:rsid w:val="00396A21"/>
    <w:rsid w:val="003C2D3A"/>
    <w:rsid w:val="003D1CDA"/>
    <w:rsid w:val="003E18B8"/>
    <w:rsid w:val="00400A50"/>
    <w:rsid w:val="00402B99"/>
    <w:rsid w:val="00424BA1"/>
    <w:rsid w:val="0043687E"/>
    <w:rsid w:val="00450E10"/>
    <w:rsid w:val="00486E8E"/>
    <w:rsid w:val="004A3067"/>
    <w:rsid w:val="004C5B85"/>
    <w:rsid w:val="004C7837"/>
    <w:rsid w:val="004F45AD"/>
    <w:rsid w:val="004F7F9D"/>
    <w:rsid w:val="005039CE"/>
    <w:rsid w:val="005056DF"/>
    <w:rsid w:val="00511DF1"/>
    <w:rsid w:val="00513815"/>
    <w:rsid w:val="005178EF"/>
    <w:rsid w:val="005418EB"/>
    <w:rsid w:val="00544EF2"/>
    <w:rsid w:val="00560401"/>
    <w:rsid w:val="00564A61"/>
    <w:rsid w:val="005B42C9"/>
    <w:rsid w:val="005C3DB4"/>
    <w:rsid w:val="005E2281"/>
    <w:rsid w:val="005E55E3"/>
    <w:rsid w:val="005F2369"/>
    <w:rsid w:val="006116DC"/>
    <w:rsid w:val="0063217D"/>
    <w:rsid w:val="00641340"/>
    <w:rsid w:val="00644D7F"/>
    <w:rsid w:val="0067478F"/>
    <w:rsid w:val="006867E5"/>
    <w:rsid w:val="00692999"/>
    <w:rsid w:val="00694D56"/>
    <w:rsid w:val="00694E63"/>
    <w:rsid w:val="006A1079"/>
    <w:rsid w:val="006A650D"/>
    <w:rsid w:val="006B2327"/>
    <w:rsid w:val="006E1E79"/>
    <w:rsid w:val="006F058B"/>
    <w:rsid w:val="006F0C72"/>
    <w:rsid w:val="006F2192"/>
    <w:rsid w:val="00701E17"/>
    <w:rsid w:val="00723DE9"/>
    <w:rsid w:val="00757313"/>
    <w:rsid w:val="00763C3E"/>
    <w:rsid w:val="00787910"/>
    <w:rsid w:val="00795890"/>
    <w:rsid w:val="007A034D"/>
    <w:rsid w:val="007C6AA5"/>
    <w:rsid w:val="007D0ABC"/>
    <w:rsid w:val="007E1456"/>
    <w:rsid w:val="007E4246"/>
    <w:rsid w:val="007F6E79"/>
    <w:rsid w:val="008219FE"/>
    <w:rsid w:val="0083472B"/>
    <w:rsid w:val="00836530"/>
    <w:rsid w:val="0084394F"/>
    <w:rsid w:val="00850D58"/>
    <w:rsid w:val="00853D24"/>
    <w:rsid w:val="00867EE2"/>
    <w:rsid w:val="00873A17"/>
    <w:rsid w:val="0087593A"/>
    <w:rsid w:val="008771D1"/>
    <w:rsid w:val="00892605"/>
    <w:rsid w:val="008A413F"/>
    <w:rsid w:val="008B1E4C"/>
    <w:rsid w:val="008D71B2"/>
    <w:rsid w:val="008E3D23"/>
    <w:rsid w:val="008E4A0F"/>
    <w:rsid w:val="00952417"/>
    <w:rsid w:val="009B1477"/>
    <w:rsid w:val="009B62DB"/>
    <w:rsid w:val="009C3EE8"/>
    <w:rsid w:val="009F5206"/>
    <w:rsid w:val="00A000EE"/>
    <w:rsid w:val="00A14108"/>
    <w:rsid w:val="00A47806"/>
    <w:rsid w:val="00A81B79"/>
    <w:rsid w:val="00AB1CD7"/>
    <w:rsid w:val="00AE4C57"/>
    <w:rsid w:val="00B0422C"/>
    <w:rsid w:val="00B12518"/>
    <w:rsid w:val="00B34B2D"/>
    <w:rsid w:val="00B47A17"/>
    <w:rsid w:val="00B50529"/>
    <w:rsid w:val="00B65F94"/>
    <w:rsid w:val="00B6640C"/>
    <w:rsid w:val="00BA0035"/>
    <w:rsid w:val="00BD677C"/>
    <w:rsid w:val="00C12975"/>
    <w:rsid w:val="00C441D8"/>
    <w:rsid w:val="00C94EC7"/>
    <w:rsid w:val="00CB324B"/>
    <w:rsid w:val="00CB444E"/>
    <w:rsid w:val="00CD7729"/>
    <w:rsid w:val="00CF324E"/>
    <w:rsid w:val="00D40B03"/>
    <w:rsid w:val="00D6260B"/>
    <w:rsid w:val="00D71830"/>
    <w:rsid w:val="00D864E1"/>
    <w:rsid w:val="00D86895"/>
    <w:rsid w:val="00DB38E4"/>
    <w:rsid w:val="00DB58FB"/>
    <w:rsid w:val="00DC1D37"/>
    <w:rsid w:val="00DE6B96"/>
    <w:rsid w:val="00E1754C"/>
    <w:rsid w:val="00E323F2"/>
    <w:rsid w:val="00E424BA"/>
    <w:rsid w:val="00ED05A8"/>
    <w:rsid w:val="00ED0EFD"/>
    <w:rsid w:val="00ED44A8"/>
    <w:rsid w:val="00EE5DC2"/>
    <w:rsid w:val="00F25901"/>
    <w:rsid w:val="00F35A13"/>
    <w:rsid w:val="00F53293"/>
    <w:rsid w:val="00F619E1"/>
    <w:rsid w:val="00F77846"/>
    <w:rsid w:val="00FA62F4"/>
    <w:rsid w:val="00FC1CC8"/>
    <w:rsid w:val="00FC489B"/>
    <w:rsid w:val="00FC4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4BA1"/>
    <w:pPr>
      <w:spacing w:line="360" w:lineRule="atLeast"/>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character" w:styleId="a6">
    <w:name w:val="Hyperlink"/>
    <w:rsid w:val="008E3D23"/>
    <w:rPr>
      <w:color w:val="0000FF"/>
      <w:u w:val="single"/>
    </w:rPr>
  </w:style>
  <w:style w:type="paragraph" w:styleId="a7">
    <w:name w:val="Body Text Indent"/>
    <w:basedOn w:val="a"/>
    <w:link w:val="a8"/>
    <w:rsid w:val="008E3D23"/>
    <w:pPr>
      <w:spacing w:line="240" w:lineRule="atLeast"/>
      <w:ind w:left="6180"/>
      <w:jc w:val="left"/>
    </w:pPr>
    <w:rPr>
      <w:sz w:val="30"/>
    </w:rPr>
  </w:style>
  <w:style w:type="character" w:customStyle="1" w:styleId="a8">
    <w:name w:val="Основной текст с отступом Знак"/>
    <w:link w:val="a7"/>
    <w:rsid w:val="008E3D23"/>
    <w:rPr>
      <w:rFonts w:ascii="Times New Roman" w:hAnsi="Times New Roman"/>
      <w:sz w:val="30"/>
    </w:rPr>
  </w:style>
  <w:style w:type="paragraph" w:styleId="a9">
    <w:name w:val="Balloon Text"/>
    <w:basedOn w:val="a"/>
    <w:link w:val="aa"/>
    <w:rsid w:val="008E3D23"/>
    <w:pPr>
      <w:spacing w:line="240" w:lineRule="auto"/>
    </w:pPr>
    <w:rPr>
      <w:rFonts w:ascii="Tahoma" w:hAnsi="Tahoma" w:cs="Tahoma"/>
      <w:sz w:val="16"/>
      <w:szCs w:val="16"/>
    </w:rPr>
  </w:style>
  <w:style w:type="character" w:customStyle="1" w:styleId="aa">
    <w:name w:val="Текст выноски Знак"/>
    <w:link w:val="a9"/>
    <w:rsid w:val="008E3D23"/>
    <w:rPr>
      <w:rFonts w:ascii="Tahoma" w:hAnsi="Tahoma" w:cs="Tahoma"/>
      <w:sz w:val="16"/>
      <w:szCs w:val="16"/>
    </w:rPr>
  </w:style>
  <w:style w:type="paragraph" w:styleId="ab">
    <w:name w:val="List Paragraph"/>
    <w:basedOn w:val="a"/>
    <w:uiPriority w:val="34"/>
    <w:qFormat/>
    <w:rsid w:val="00952417"/>
    <w:pPr>
      <w:spacing w:after="200" w:line="276" w:lineRule="auto"/>
      <w:ind w:left="720"/>
      <w:contextualSpacing/>
      <w:jc w:val="left"/>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4BA1"/>
    <w:pPr>
      <w:spacing w:line="360" w:lineRule="atLeast"/>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character" w:styleId="a6">
    <w:name w:val="Hyperlink"/>
    <w:rsid w:val="008E3D23"/>
    <w:rPr>
      <w:color w:val="0000FF"/>
      <w:u w:val="single"/>
    </w:rPr>
  </w:style>
  <w:style w:type="paragraph" w:styleId="a7">
    <w:name w:val="Body Text Indent"/>
    <w:basedOn w:val="a"/>
    <w:link w:val="a8"/>
    <w:rsid w:val="008E3D23"/>
    <w:pPr>
      <w:spacing w:line="240" w:lineRule="atLeast"/>
      <w:ind w:left="6180"/>
      <w:jc w:val="left"/>
    </w:pPr>
    <w:rPr>
      <w:sz w:val="30"/>
    </w:rPr>
  </w:style>
  <w:style w:type="character" w:customStyle="1" w:styleId="a8">
    <w:name w:val="Основной текст с отступом Знак"/>
    <w:link w:val="a7"/>
    <w:rsid w:val="008E3D23"/>
    <w:rPr>
      <w:rFonts w:ascii="Times New Roman" w:hAnsi="Times New Roman"/>
      <w:sz w:val="30"/>
    </w:rPr>
  </w:style>
  <w:style w:type="paragraph" w:styleId="a9">
    <w:name w:val="Balloon Text"/>
    <w:basedOn w:val="a"/>
    <w:link w:val="aa"/>
    <w:rsid w:val="008E3D23"/>
    <w:pPr>
      <w:spacing w:line="240" w:lineRule="auto"/>
    </w:pPr>
    <w:rPr>
      <w:rFonts w:ascii="Tahoma" w:hAnsi="Tahoma" w:cs="Tahoma"/>
      <w:sz w:val="16"/>
      <w:szCs w:val="16"/>
    </w:rPr>
  </w:style>
  <w:style w:type="character" w:customStyle="1" w:styleId="aa">
    <w:name w:val="Текст выноски Знак"/>
    <w:link w:val="a9"/>
    <w:rsid w:val="008E3D23"/>
    <w:rPr>
      <w:rFonts w:ascii="Tahoma" w:hAnsi="Tahoma" w:cs="Tahoma"/>
      <w:sz w:val="16"/>
      <w:szCs w:val="16"/>
    </w:rPr>
  </w:style>
  <w:style w:type="paragraph" w:styleId="ab">
    <w:name w:val="List Paragraph"/>
    <w:basedOn w:val="a"/>
    <w:uiPriority w:val="34"/>
    <w:qFormat/>
    <w:rsid w:val="00952417"/>
    <w:pPr>
      <w:spacing w:after="200" w:line="276" w:lineRule="auto"/>
      <w:ind w:left="720"/>
      <w:contextualSpacing/>
      <w:jc w:val="left"/>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40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21728EC034E91D994CE16AE900CA10E5BECC004D98A8CEB6421EF06D3Af0T1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C94E1-41FF-4426-B3A1-927B12106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1271</Words>
  <Characters>7245</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Вносится Правительством Российской Федерации</vt:lpstr>
    </vt:vector>
  </TitlesOfParts>
  <Company>Российкой Федерации</Company>
  <LinksUpToDate>false</LinksUpToDate>
  <CharactersWithSpaces>8500</CharactersWithSpaces>
  <SharedDoc>false</SharedDoc>
  <HLinks>
    <vt:vector size="6" baseType="variant">
      <vt:variant>
        <vt:i4>1638491</vt:i4>
      </vt:variant>
      <vt:variant>
        <vt:i4>0</vt:i4>
      </vt:variant>
      <vt:variant>
        <vt:i4>0</vt:i4>
      </vt:variant>
      <vt:variant>
        <vt:i4>5</vt:i4>
      </vt:variant>
      <vt:variant>
        <vt:lpwstr>consultantplus://offline/ref=21728EC034E91D994CE16AE900CA10E5BECC004D98A8CEB6421EF06D3Af0T1P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Вносится Правительством Российской Федерации</dc:title>
  <dc:creator>Регистратор 15_2</dc:creator>
  <cp:lastModifiedBy>admin</cp:lastModifiedBy>
  <cp:revision>2</cp:revision>
  <cp:lastPrinted>2020-03-02T07:38:00Z</cp:lastPrinted>
  <dcterms:created xsi:type="dcterms:W3CDTF">2020-03-23T07:54:00Z</dcterms:created>
  <dcterms:modified xsi:type="dcterms:W3CDTF">2020-03-23T07:54:00Z</dcterms:modified>
</cp:coreProperties>
</file>