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0440"/>
        </w:tabs>
        <w:ind w:right="-284"/>
        <w:contextualSpacing w:val="0"/>
        <w:jc w:val="center"/>
        <w:rPr>
          <w:color w:val="56426e"/>
          <w:sz w:val="32"/>
          <w:szCs w:val="32"/>
        </w:rPr>
      </w:pPr>
      <w:r w:rsidDel="00000000" w:rsidR="00000000" w:rsidRPr="00000000">
        <w:rPr>
          <w:color w:val="56426e"/>
        </w:rPr>
        <w:drawing>
          <wp:inline distB="0" distT="0" distL="0" distR="0">
            <wp:extent cx="581025" cy="685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40"/>
        </w:tabs>
        <w:spacing w:after="0" w:before="0" w:line="240" w:lineRule="auto"/>
        <w:ind w:left="0" w:right="-284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426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426e"/>
          <w:sz w:val="32"/>
          <w:szCs w:val="32"/>
          <w:u w:val="none"/>
          <w:shd w:fill="auto" w:val="clear"/>
          <w:vertAlign w:val="baseline"/>
          <w:rtl w:val="0"/>
        </w:rPr>
        <w:t xml:space="preserve">Межрегиональная общественная организация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426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426e"/>
          <w:sz w:val="36"/>
          <w:szCs w:val="36"/>
          <w:u w:val="none"/>
          <w:shd w:fill="auto" w:val="clear"/>
          <w:vertAlign w:val="baseline"/>
          <w:rtl w:val="0"/>
        </w:rPr>
        <w:t xml:space="preserve">“МОСКОВСКАЯ АССОЦИАЦИЯ ПРЕДПРИНИМАТЕЛЕЙ”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56426e"/>
          <w:sz w:val="40"/>
          <w:szCs w:val="40"/>
        </w:rPr>
      </w:pPr>
      <w:r w:rsidDel="00000000" w:rsidR="00000000" w:rsidRPr="00000000">
        <w:rPr>
          <w:color w:val="56426e"/>
          <w:sz w:val="40"/>
          <w:szCs w:val="40"/>
          <w:rtl w:val="0"/>
        </w:rPr>
        <w:t xml:space="preserve">Комитет по строительству и ЖКХ</w:t>
      </w:r>
    </w:p>
    <w:p w:rsidR="00000000" w:rsidDel="00000000" w:rsidP="00000000" w:rsidRDefault="00000000" w:rsidRPr="00000000" w14:paraId="00000004">
      <w:pPr>
        <w:tabs>
          <w:tab w:val="left" w:pos="10440"/>
        </w:tabs>
        <w:ind w:right="-284"/>
        <w:contextualSpacing w:val="0"/>
        <w:jc w:val="center"/>
        <w:rPr>
          <w:color w:val="56426e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0440"/>
        </w:tabs>
        <w:ind w:right="-284"/>
        <w:contextualSpacing w:val="0"/>
        <w:jc w:val="center"/>
        <w:rPr>
          <w:color w:val="56426e"/>
        </w:rPr>
      </w:pPr>
      <w:r w:rsidDel="00000000" w:rsidR="00000000" w:rsidRPr="00000000">
        <w:rPr>
          <w:color w:val="56426e"/>
          <w:rtl w:val="0"/>
        </w:rPr>
        <w:t xml:space="preserve">Interregional Public Organization «MOSCOW ENTREPRENEURS’ ASSOCIATION»</w:t>
      </w:r>
    </w:p>
    <w:p w:rsidR="00000000" w:rsidDel="00000000" w:rsidP="00000000" w:rsidRDefault="00000000" w:rsidRPr="00000000" w14:paraId="00000006">
      <w:pPr>
        <w:tabs>
          <w:tab w:val="left" w:pos="9180"/>
          <w:tab w:val="left" w:pos="10440"/>
        </w:tabs>
        <w:ind w:right="-284"/>
        <w:contextualSpacing w:val="0"/>
        <w:jc w:val="center"/>
        <w:rPr>
          <w:color w:val="56426e"/>
          <w:sz w:val="20"/>
          <w:szCs w:val="20"/>
        </w:rPr>
      </w:pPr>
      <w:r w:rsidDel="00000000" w:rsidR="00000000" w:rsidRPr="00000000">
        <w:rPr>
          <w:color w:val="56426e"/>
          <w:sz w:val="20"/>
          <w:szCs w:val="20"/>
          <w:rtl w:val="0"/>
        </w:rPr>
        <w:t xml:space="preserve">109004,  Москва, ул. Станиславского, 22, стр. 2. 109004, Moscow, Russia, 22 Stanislavskogo  St., bldg. 2</w:t>
      </w:r>
    </w:p>
    <w:p w:rsidR="00000000" w:rsidDel="00000000" w:rsidP="00000000" w:rsidRDefault="00000000" w:rsidRPr="00000000" w14:paraId="00000007">
      <w:pPr>
        <w:tabs>
          <w:tab w:val="left" w:pos="9180"/>
          <w:tab w:val="left" w:pos="10440"/>
        </w:tabs>
        <w:ind w:right="-284"/>
        <w:contextualSpacing w:val="0"/>
        <w:jc w:val="center"/>
        <w:rPr>
          <w:color w:val="56426e"/>
          <w:sz w:val="20"/>
          <w:szCs w:val="20"/>
        </w:rPr>
      </w:pPr>
      <w:r w:rsidDel="00000000" w:rsidR="00000000" w:rsidRPr="00000000">
        <w:rPr>
          <w:color w:val="56426e"/>
          <w:sz w:val="20"/>
          <w:szCs w:val="20"/>
          <w:rtl w:val="0"/>
        </w:rPr>
        <w:t xml:space="preserve">Тел./tel.:  (495)  911-36-95,  911-38-39,  факс/fax: (495) 912-32-64 , </w:t>
      </w:r>
      <w:hyperlink r:id="rId7">
        <w:r w:rsidDel="00000000" w:rsidR="00000000" w:rsidRPr="00000000">
          <w:rPr>
            <w:color w:val="56426e"/>
            <w:u w:val="single"/>
            <w:rtl w:val="0"/>
          </w:rPr>
          <w:t xml:space="preserve">www.moomap.ru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180"/>
          <w:tab w:val="left" w:pos="10440"/>
        </w:tabs>
        <w:ind w:right="-284"/>
        <w:contextualSpacing w:val="0"/>
        <w:jc w:val="center"/>
        <w:rPr>
          <w:color w:val="333399"/>
          <w:sz w:val="20"/>
          <w:szCs w:val="20"/>
        </w:rPr>
      </w:pPr>
      <w:r w:rsidDel="00000000" w:rsidR="00000000" w:rsidRPr="00000000">
        <w:rPr>
          <w:color w:val="333399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180"/>
          <w:tab w:val="left" w:pos="10440"/>
        </w:tabs>
        <w:ind w:right="-284"/>
        <w:contextualSpacing w:val="0"/>
        <w:jc w:val="center"/>
        <w:rPr>
          <w:b w:val="1"/>
          <w:color w:val="3333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 на проект федерального закона № 583143-7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 внесении изменений в статьи 55.5 и 55.5-1 Градостроительного кодекса Российской Федерации»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 изменении требований к специалистам саморегулируемых организаций, осуществляющих строительные, проектные, изыскательские работы), внесенный Государственным Собранием Республики Мордовия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Ключевой идеей законопроекта является изменение минимальных требований, предъявляемые к специалистам в градостроительной сфере для включения их в национальные реестры специалистов.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Помимо этого, проект предусматривает обязательное наличие высшего или среднего профессионального образования, а также наличие общего трудового стажа по профессии, специальности или направлению подготовки в области строительства для лиц, имеющих высшее образование не менее чем пять лет, а для лиц, имеющих среднее профессиональное образование не менее чем десять лет. </w:t>
      </w:r>
    </w:p>
    <w:p w:rsidR="00000000" w:rsidDel="00000000" w:rsidP="00000000" w:rsidRDefault="00000000" w:rsidRPr="00000000" w14:paraId="00000012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связи с этим полагаем, что вопрос о внесении изменений в указанные нормы следует рассматривать с учетом сложившейся практики их применения во всех субъектах Российской Федерации, а именно: </w:t>
      </w:r>
    </w:p>
    <w:p w:rsidR="00000000" w:rsidDel="00000000" w:rsidP="00000000" w:rsidRDefault="00000000" w:rsidRPr="00000000" w14:paraId="00000013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Десять лет трудового стажа для лиц, имеющих среднее профессиональное образование – это необоснованно много, учитывая сегодняшнюю острую нехватку высококвалифицированных специалистов на рынке труда.  Кроме того, стаж сам по себе без учета мест работы и объектов строительства, с которыми специалист имел дело за эти годы, не является гарантией качества полученных навыков специалиста. В связи с этим предлагаем внести следующие изменения в законопроект: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Понизить требование к наличию общего трудового стажа по профессии, специальности или направлению подготовки в области строительства для лиц, имеющих среднее профессиональное образование с десяти до пяти лет.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Включить в требуемые пять лет общего трудового стажа для лиц, имеющих высшее образование, время прохождение производственной практики во время учебы в высшем учебном заведении, так как производственная практика в государственных образовательных учреждениях предполагает участие в реальных рабочих процессах.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Таким образом, предлагаю поддержать концепцию проекта законопроекта с учетом вышеуказанных предложений.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Заместитель председателя Комитета</w:t>
      </w:r>
    </w:p>
    <w:p w:rsidR="00000000" w:rsidDel="00000000" w:rsidP="00000000" w:rsidRDefault="00000000" w:rsidRPr="00000000" w14:paraId="0000001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по строительству и ЖКХ</w:t>
        <w:tab/>
        <w:tab/>
        <w:tab/>
        <w:tab/>
        <w:tab/>
        <w:tab/>
        <w:tab/>
        <w:t xml:space="preserve">А.А. Скирда</w:t>
      </w:r>
      <w:r w:rsidDel="00000000" w:rsidR="00000000" w:rsidRPr="00000000">
        <w:rPr>
          <w:rtl w:val="0"/>
        </w:rPr>
      </w:r>
    </w:p>
    <w:sectPr>
      <w:pgSz w:h="16838" w:w="11906"/>
      <w:pgMar w:bottom="426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70D1A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970D1A"/>
    <w:rPr>
      <w:color w:val="0000ff"/>
      <w:u w:val="single"/>
    </w:rPr>
  </w:style>
  <w:style w:type="paragraph" w:styleId="1" w:customStyle="1">
    <w:name w:val="Название объекта1"/>
    <w:basedOn w:val="a"/>
    <w:next w:val="a"/>
    <w:rsid w:val="00970D1A"/>
    <w:pPr>
      <w:jc w:val="center"/>
    </w:pPr>
    <w:rPr>
      <w:b w:val="1"/>
      <w:sz w:val="36"/>
      <w:szCs w:val="20"/>
      <w:lang w:val="en-US"/>
    </w:rPr>
  </w:style>
  <w:style w:type="paragraph" w:styleId="a4">
    <w:name w:val="Balloon Text"/>
    <w:basedOn w:val="a"/>
    <w:link w:val="a5"/>
    <w:uiPriority w:val="99"/>
    <w:semiHidden w:val="1"/>
    <w:unhideWhenUsed w:val="1"/>
    <w:rsid w:val="00970D1A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970D1A"/>
    <w:rPr>
      <w:rFonts w:ascii="Tahoma" w:cs="Tahoma" w:eastAsia="Times New Roman" w:hAnsi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 w:val="1"/>
    <w:rsid w:val="00F91A9F"/>
    <w:pPr>
      <w:ind w:left="720"/>
      <w:contextualSpacing w:val="1"/>
    </w:pPr>
  </w:style>
  <w:style w:type="table" w:styleId="a7">
    <w:name w:val="Table Grid"/>
    <w:basedOn w:val="a1"/>
    <w:uiPriority w:val="59"/>
    <w:rsid w:val="00CB5F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No Spacing"/>
    <w:uiPriority w:val="1"/>
    <w:qFormat w:val="1"/>
    <w:rsid w:val="00EE531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moom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